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07CA" w14:textId="79C167D0" w:rsidR="00C27915" w:rsidRDefault="00C27915" w:rsidP="00210A54">
      <w:pPr>
        <w:spacing w:line="276" w:lineRule="auto"/>
        <w:jc w:val="center"/>
        <w:rPr>
          <w:rFonts w:asciiTheme="majorHAnsi" w:hAnsiTheme="majorHAnsi" w:cstheme="majorHAnsi"/>
          <w:bCs/>
          <w:sz w:val="28"/>
        </w:rPr>
      </w:pPr>
      <w:r>
        <w:rPr>
          <w:rFonts w:asciiTheme="majorHAnsi" w:hAnsiTheme="majorHAnsi" w:cstheme="majorHAnsi"/>
          <w:bCs/>
          <w:sz w:val="28"/>
        </w:rPr>
        <w:t>WASLA WESTERN AUSTRALIAN</w:t>
      </w:r>
    </w:p>
    <w:p w14:paraId="4376B529" w14:textId="74A3FFE7" w:rsidR="00C27915" w:rsidRPr="000052E5" w:rsidRDefault="00C27915" w:rsidP="00210A54">
      <w:pPr>
        <w:spacing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  <w:sz w:val="28"/>
        </w:rPr>
        <w:t xml:space="preserve">SCHOOL LIBRARY TEAM </w:t>
      </w:r>
      <w:r w:rsidRPr="000052E5">
        <w:rPr>
          <w:rFonts w:asciiTheme="majorHAnsi" w:hAnsiTheme="majorHAnsi" w:cstheme="majorHAnsi"/>
          <w:bCs/>
          <w:sz w:val="28"/>
        </w:rPr>
        <w:t>OF THE YEAR AWARD</w:t>
      </w:r>
      <w:r>
        <w:rPr>
          <w:rFonts w:asciiTheme="majorHAnsi" w:hAnsiTheme="majorHAnsi" w:cstheme="majorHAnsi"/>
          <w:bCs/>
          <w:sz w:val="28"/>
        </w:rPr>
        <w:t xml:space="preserve"> 2021</w:t>
      </w:r>
    </w:p>
    <w:p w14:paraId="6B31A549" w14:textId="7F430D4A" w:rsidR="00BD6986" w:rsidRPr="006E11C8" w:rsidRDefault="00BD6986" w:rsidP="006E11C8">
      <w:pPr>
        <w:spacing w:line="276" w:lineRule="auto"/>
        <w:rPr>
          <w:rFonts w:asciiTheme="majorHAnsi" w:hAnsiTheme="majorHAnsi"/>
        </w:rPr>
      </w:pPr>
    </w:p>
    <w:p w14:paraId="242262D4" w14:textId="777A14B3" w:rsidR="003B1E70" w:rsidRPr="00C27915" w:rsidRDefault="003B1E70" w:rsidP="00FA5271">
      <w:pPr>
        <w:spacing w:line="276" w:lineRule="auto"/>
        <w:rPr>
          <w:rFonts w:asciiTheme="majorHAnsi" w:hAnsiTheme="majorHAnsi" w:cstheme="majorHAnsi"/>
          <w:snapToGrid w:val="0"/>
          <w:sz w:val="22"/>
          <w:szCs w:val="22"/>
          <w:lang w:val="en-GB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This award recognises and 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honours </w:t>
      </w:r>
      <w:r w:rsidR="00D44B66" w:rsidRPr="00C27915">
        <w:rPr>
          <w:rFonts w:asciiTheme="majorHAnsi" w:hAnsiTheme="majorHAnsi" w:cstheme="majorHAnsi"/>
          <w:snapToGrid w:val="0"/>
          <w:sz w:val="22"/>
          <w:szCs w:val="22"/>
          <w:lang w:val="en-GB"/>
        </w:rPr>
        <w:t xml:space="preserve">an exceptional school library team whose 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>professional practice has a positive impact on student achievement and information literacy</w:t>
      </w:r>
      <w:r w:rsidR="001A4D00">
        <w:rPr>
          <w:rFonts w:asciiTheme="majorHAnsi" w:hAnsiTheme="majorHAnsi" w:cstheme="majorHAnsi"/>
          <w:snapToGrid w:val="0"/>
          <w:sz w:val="22"/>
          <w:szCs w:val="22"/>
        </w:rPr>
        <w:t xml:space="preserve"> within their school, and who also engages with the wider school library community.</w:t>
      </w:r>
    </w:p>
    <w:p w14:paraId="563614D0" w14:textId="5175FEA1" w:rsidR="003B1E70" w:rsidRDefault="003B1E70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Each year, the committee of the Western Australian School Library Association may nominate or receive nominations for 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>teams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who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they consider demonstrate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a high level of achievement in: </w:t>
      </w:r>
    </w:p>
    <w:p w14:paraId="36B64593" w14:textId="77777777" w:rsidR="00210A54" w:rsidRPr="00C27915" w:rsidRDefault="00210A54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73C9596F" w14:textId="77777777" w:rsidR="003B1E70" w:rsidRPr="00C27915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Knowledge </w:t>
      </w:r>
    </w:p>
    <w:p w14:paraId="0E78EA6B" w14:textId="77777777" w:rsidR="003B1E70" w:rsidRPr="00C27915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Practice </w:t>
      </w:r>
    </w:p>
    <w:p w14:paraId="4FC5BE59" w14:textId="037B831C" w:rsidR="003B1E70" w:rsidRPr="00210A54" w:rsidRDefault="003B1E70" w:rsidP="00FA5271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z w:val="22"/>
          <w:szCs w:val="22"/>
        </w:rPr>
        <w:t xml:space="preserve">Professional Commitment </w:t>
      </w:r>
    </w:p>
    <w:p w14:paraId="34617E39" w14:textId="77777777" w:rsidR="00210A54" w:rsidRPr="00C27915" w:rsidRDefault="00210A54" w:rsidP="00FA5271">
      <w:pPr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2258072D" w14:textId="26180B70" w:rsidR="00210A54" w:rsidRPr="00C27915" w:rsidRDefault="003B1E70" w:rsidP="00FA5271">
      <w:pPr>
        <w:tabs>
          <w:tab w:val="left" w:pos="2235"/>
          <w:tab w:val="left" w:pos="918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The nominated </w:t>
      </w:r>
      <w:r w:rsidR="000A018E" w:rsidRPr="00C27915">
        <w:rPr>
          <w:rFonts w:asciiTheme="majorHAnsi" w:hAnsiTheme="majorHAnsi" w:cstheme="majorHAnsi"/>
          <w:snapToGrid w:val="0"/>
          <w:sz w:val="22"/>
          <w:szCs w:val="22"/>
        </w:rPr>
        <w:t>school library</w:t>
      </w:r>
      <w:r w:rsidR="008E7CF2"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must be a financial institutional member</w:t>
      </w:r>
      <w:r w:rsidRPr="00C27915">
        <w:rPr>
          <w:rFonts w:asciiTheme="majorHAnsi" w:hAnsiTheme="majorHAnsi" w:cstheme="majorHAnsi"/>
          <w:snapToGrid w:val="0"/>
          <w:sz w:val="22"/>
          <w:szCs w:val="22"/>
        </w:rPr>
        <w:t xml:space="preserve"> of WASLA. </w:t>
      </w:r>
    </w:p>
    <w:p w14:paraId="711A7B69" w14:textId="48A065D4" w:rsidR="003B1E70" w:rsidRPr="00C27915" w:rsidRDefault="003B1E70" w:rsidP="00FA5271">
      <w:pPr>
        <w:spacing w:line="276" w:lineRule="auto"/>
        <w:rPr>
          <w:rFonts w:asciiTheme="majorHAnsi" w:hAnsiTheme="majorHAnsi" w:cstheme="majorHAnsi"/>
          <w:snapToGrid w:val="0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The Western</w:t>
      </w:r>
      <w:r w:rsidR="008E7CF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Australian 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School Library</w:t>
      </w:r>
      <w:r w:rsidR="008E7CF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of the Year will be announced at </w:t>
      </w:r>
      <w:r w:rsidR="00FA527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a WASLA Awards </w:t>
      </w:r>
      <w:r w:rsidR="00AB74BC">
        <w:rPr>
          <w:rFonts w:asciiTheme="majorHAnsi" w:hAnsiTheme="majorHAnsi" w:cstheme="majorHAnsi"/>
          <w:snapToGrid w:val="0"/>
          <w:color w:val="000000"/>
          <w:sz w:val="22"/>
          <w:szCs w:val="22"/>
        </w:rPr>
        <w:t>Ceremony,</w:t>
      </w:r>
      <w:r w:rsidR="00FA5271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and will receive a 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trophy, 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framed certificate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 and free </w:t>
      </w:r>
      <w:r w:rsidR="00226732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WASLA </w:t>
      </w:r>
      <w:r w:rsid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I</w:t>
      </w:r>
      <w:r w:rsidR="000A018E"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nstitutional membership for the following year</w:t>
      </w:r>
      <w:r w:rsidRPr="00C27915">
        <w:rPr>
          <w:rFonts w:asciiTheme="majorHAnsi" w:hAnsiTheme="majorHAnsi" w:cstheme="majorHAnsi"/>
          <w:snapToGrid w:val="0"/>
          <w:color w:val="000000"/>
          <w:sz w:val="22"/>
          <w:szCs w:val="22"/>
        </w:rPr>
        <w:t>.</w:t>
      </w:r>
    </w:p>
    <w:p w14:paraId="74543F23" w14:textId="606D8FC9" w:rsidR="003B1E70" w:rsidRPr="00C27915" w:rsidRDefault="00226732" w:rsidP="00FA5271">
      <w:pPr>
        <w:spacing w:line="276" w:lineRule="auto"/>
        <w:rPr>
          <w:rFonts w:asciiTheme="majorHAnsi" w:hAnsiTheme="majorHAnsi" w:cstheme="majorHAnsi"/>
        </w:rPr>
      </w:pPr>
      <w:r w:rsidRPr="00C27915">
        <w:rPr>
          <w:rFonts w:asciiTheme="majorHAnsi" w:hAnsiTheme="majorHAnsi" w:cstheme="majorHAnsi"/>
          <w:sz w:val="22"/>
          <w:szCs w:val="22"/>
        </w:rPr>
        <w:t>School libraries</w:t>
      </w:r>
      <w:r w:rsidR="003B1E70" w:rsidRPr="00C27915">
        <w:rPr>
          <w:rFonts w:asciiTheme="majorHAnsi" w:hAnsiTheme="majorHAnsi" w:cstheme="majorHAnsi"/>
          <w:sz w:val="22"/>
          <w:szCs w:val="22"/>
        </w:rPr>
        <w:t xml:space="preserve"> support and implement the vision of their school communities through advocating and building effective libra</w:t>
      </w:r>
      <w:r w:rsidR="00147134" w:rsidRPr="00C27915">
        <w:rPr>
          <w:rFonts w:asciiTheme="majorHAnsi" w:hAnsiTheme="majorHAnsi" w:cstheme="majorHAnsi"/>
          <w:sz w:val="22"/>
          <w:szCs w:val="22"/>
        </w:rPr>
        <w:t>ry and information services</w:t>
      </w:r>
      <w:r w:rsidR="003B1E70" w:rsidRPr="00C27915">
        <w:rPr>
          <w:rFonts w:asciiTheme="majorHAnsi" w:hAnsiTheme="majorHAnsi" w:cstheme="majorHAnsi"/>
          <w:sz w:val="22"/>
          <w:szCs w:val="22"/>
        </w:rPr>
        <w:t xml:space="preserve"> that contribute to the development of lifelong learners.</w:t>
      </w:r>
    </w:p>
    <w:p w14:paraId="5F071913" w14:textId="77777777" w:rsidR="003B1E70" w:rsidRPr="00C27915" w:rsidRDefault="003B1E70" w:rsidP="00FA5271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bCs/>
          <w:snapToGrid w:val="0"/>
        </w:rPr>
      </w:pPr>
    </w:p>
    <w:p w14:paraId="2E59D561" w14:textId="29456E24" w:rsidR="003B1E70" w:rsidRPr="00210A54" w:rsidRDefault="0065115E" w:rsidP="00FA5271">
      <w:pPr>
        <w:spacing w:line="276" w:lineRule="auto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>Guideline</w:t>
      </w:r>
      <w:r w:rsidR="00147134"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>s for school library</w:t>
      </w:r>
      <w:r w:rsidR="003B1E70" w:rsidRPr="00210A54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selection:</w:t>
      </w:r>
    </w:p>
    <w:p w14:paraId="6E6F4AF1" w14:textId="37C15BC8" w:rsidR="00FA5271" w:rsidRPr="00C27915" w:rsidRDefault="00FA5271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108970"/>
      <w:bookmarkStart w:id="1" w:name="_Hlk63109065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Call for nominations to go </w:t>
      </w: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through WASLA Communications to a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ll members.</w:t>
      </w:r>
    </w:p>
    <w:p w14:paraId="475BBE28" w14:textId="3F22E441" w:rsidR="003B1E70" w:rsidRPr="00C27915" w:rsidRDefault="00FE3A0E" w:rsidP="00410CD9">
      <w:pPr>
        <w:pStyle w:val="ListParagraph"/>
        <w:numPr>
          <w:ilvl w:val="0"/>
          <w:numId w:val="15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</w:rPr>
        <w:t xml:space="preserve">Details of </w:t>
      </w:r>
      <w:r w:rsidR="007622DE" w:rsidRPr="00C27915">
        <w:rPr>
          <w:rFonts w:asciiTheme="majorHAnsi" w:hAnsiTheme="majorHAnsi" w:cstheme="majorHAnsi"/>
          <w:color w:val="000000"/>
          <w:sz w:val="22"/>
          <w:szCs w:val="22"/>
        </w:rPr>
        <w:t>the</w:t>
      </w:r>
      <w:r w:rsidR="003B1E70" w:rsidRPr="00C27915">
        <w:rPr>
          <w:rFonts w:asciiTheme="majorHAnsi" w:hAnsiTheme="majorHAnsi" w:cstheme="majorHAnsi"/>
          <w:color w:val="000000"/>
          <w:sz w:val="22"/>
          <w:szCs w:val="22"/>
        </w:rPr>
        <w:t xml:space="preserve"> contribution to school libraries in Western Australia will be submitted as well as the nomination form below.</w:t>
      </w:r>
    </w:p>
    <w:p w14:paraId="43D59737" w14:textId="3EC6279E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bookmarkStart w:id="2" w:name="_Hlk63108888"/>
      <w:bookmarkEnd w:id="0"/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Nominations will be sent to the Vice</w:t>
      </w:r>
      <w:r w:rsidR="00844AC1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of WASLA.</w:t>
      </w:r>
    </w:p>
    <w:bookmarkEnd w:id="2"/>
    <w:p w14:paraId="7416EFF8" w14:textId="302BEEF9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Scholarship and Awards sub-committee, led by the Vice</w:t>
      </w:r>
      <w:r w:rsidR="00844AC1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President will select the worthy recipient.</w:t>
      </w:r>
    </w:p>
    <w:p w14:paraId="2F00F8E0" w14:textId="77777777" w:rsidR="003B1E70" w:rsidRPr="00C27915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The decision of the sub-committee will be final.</w:t>
      </w:r>
    </w:p>
    <w:p w14:paraId="535885E9" w14:textId="5370ED76" w:rsidR="003B1E70" w:rsidRDefault="003B1E70" w:rsidP="00410CD9">
      <w:pPr>
        <w:pStyle w:val="ListParagraph"/>
        <w:numPr>
          <w:ilvl w:val="0"/>
          <w:numId w:val="15"/>
        </w:numPr>
        <w:spacing w:line="276" w:lineRule="auto"/>
        <w:ind w:left="417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The sub-committee will prepare a short statement on the recipient to be announced and presented at the </w:t>
      </w:r>
      <w:r w:rsidR="00A65914"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awards ceremony</w:t>
      </w:r>
      <w:r w:rsidRPr="00C27915">
        <w:rPr>
          <w:rFonts w:asciiTheme="majorHAnsi" w:hAnsiTheme="majorHAnsi" w:cstheme="majorHAnsi"/>
          <w:color w:val="000000"/>
          <w:sz w:val="22"/>
          <w:szCs w:val="22"/>
          <w:lang w:val="en-US"/>
        </w:rPr>
        <w:t>, along with an article to appear in the Association’s journal</w:t>
      </w:r>
      <w:r w:rsidR="009C613F">
        <w:rPr>
          <w:rFonts w:asciiTheme="majorHAnsi" w:hAnsiTheme="majorHAnsi" w:cstheme="majorHAnsi"/>
          <w:color w:val="000000"/>
          <w:sz w:val="22"/>
          <w:szCs w:val="22"/>
          <w:lang w:val="en-US"/>
        </w:rPr>
        <w:t xml:space="preserve"> and other communications.</w:t>
      </w:r>
    </w:p>
    <w:p w14:paraId="216A39F8" w14:textId="77777777" w:rsidR="00844AC1" w:rsidRPr="00844AC1" w:rsidRDefault="00844AC1" w:rsidP="00FA5271">
      <w:pPr>
        <w:spacing w:line="276" w:lineRule="auto"/>
        <w:contextualSpacing/>
        <w:rPr>
          <w:rFonts w:asciiTheme="majorHAnsi" w:hAnsiTheme="majorHAnsi" w:cstheme="majorHAnsi"/>
          <w:color w:val="000000"/>
          <w:sz w:val="22"/>
          <w:szCs w:val="22"/>
          <w:lang w:val="en-US"/>
        </w:rPr>
      </w:pPr>
    </w:p>
    <w:bookmarkEnd w:id="1"/>
    <w:p w14:paraId="0218434B" w14:textId="77777777" w:rsidR="00210A54" w:rsidRPr="00CB17F5" w:rsidRDefault="00210A54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</w:pPr>
      <w:r w:rsidRPr="00CB17F5">
        <w:rPr>
          <w:rFonts w:asciiTheme="majorHAnsi" w:hAnsiTheme="majorHAnsi" w:cstheme="majorHAnsi"/>
          <w:i/>
          <w:snapToGrid w:val="0"/>
          <w:sz w:val="22"/>
          <w:szCs w:val="22"/>
          <w:u w:val="single"/>
        </w:rPr>
        <w:t>Guidelines for applications</w:t>
      </w:r>
    </w:p>
    <w:p w14:paraId="0A212B5A" w14:textId="14AA10B0" w:rsidR="00210A54" w:rsidRPr="00CB17F5" w:rsidRDefault="00210A54" w:rsidP="00FA5271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To nominate a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School Library Team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>, you will need the following:</w:t>
      </w:r>
    </w:p>
    <w:p w14:paraId="5EED80B8" w14:textId="17BD4484" w:rsidR="00210A54" w:rsidRDefault="00210A54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A completed nomination form – outlining details of the </w:t>
      </w:r>
      <w:r>
        <w:rPr>
          <w:rFonts w:asciiTheme="majorHAnsi" w:hAnsiTheme="majorHAnsi" w:cstheme="majorHAnsi"/>
          <w:color w:val="000000"/>
          <w:sz w:val="22"/>
          <w:szCs w:val="22"/>
        </w:rPr>
        <w:t>school library team’s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 contribution to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 xml:space="preserve">the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school 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>library</w:t>
      </w:r>
    </w:p>
    <w:p w14:paraId="3DEAA5CB" w14:textId="5F24A90E" w:rsidR="00682C8B" w:rsidRDefault="00410CD9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 copy of t</w:t>
      </w:r>
      <w:r w:rsidR="00210A54"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he </w:t>
      </w:r>
      <w:r w:rsidR="00682C8B">
        <w:rPr>
          <w:rFonts w:asciiTheme="majorHAnsi" w:hAnsiTheme="majorHAnsi" w:cstheme="majorHAnsi"/>
          <w:color w:val="000000"/>
          <w:sz w:val="22"/>
          <w:szCs w:val="22"/>
        </w:rPr>
        <w:t xml:space="preserve">school library Mission and </w:t>
      </w:r>
      <w:r>
        <w:rPr>
          <w:rFonts w:asciiTheme="majorHAnsi" w:hAnsiTheme="majorHAnsi" w:cstheme="majorHAnsi"/>
          <w:color w:val="000000"/>
          <w:sz w:val="22"/>
          <w:szCs w:val="22"/>
        </w:rPr>
        <w:t>V</w:t>
      </w:r>
      <w:r w:rsidR="00682C8B">
        <w:rPr>
          <w:rFonts w:asciiTheme="majorHAnsi" w:hAnsiTheme="majorHAnsi" w:cstheme="majorHAnsi"/>
          <w:color w:val="000000"/>
          <w:sz w:val="22"/>
          <w:szCs w:val="22"/>
        </w:rPr>
        <w:t>ision statement</w:t>
      </w:r>
      <w:r>
        <w:rPr>
          <w:rFonts w:asciiTheme="majorHAnsi" w:hAnsiTheme="majorHAnsi" w:cstheme="majorHAnsi"/>
          <w:color w:val="000000"/>
          <w:sz w:val="22"/>
          <w:szCs w:val="22"/>
        </w:rPr>
        <w:t>s.  Include any other Policy Document’s the nominee feels is valuable for the nomination eg. Annual Report, Learning and Teaching Policy, Collection Development Policy, Copyright Policy, ICT Policy etc.</w:t>
      </w:r>
      <w:r w:rsidR="00791252">
        <w:rPr>
          <w:rFonts w:asciiTheme="majorHAnsi" w:hAnsiTheme="majorHAnsi" w:cstheme="majorHAnsi"/>
          <w:color w:val="000000"/>
          <w:sz w:val="22"/>
          <w:szCs w:val="22"/>
        </w:rPr>
        <w:t>, a</w:t>
      </w:r>
      <w:r>
        <w:rPr>
          <w:rFonts w:asciiTheme="majorHAnsi" w:hAnsiTheme="majorHAnsi" w:cstheme="majorHAnsi"/>
          <w:color w:val="000000"/>
          <w:sz w:val="22"/>
          <w:szCs w:val="22"/>
        </w:rPr>
        <w:t>rticles in the school newsletter…</w:t>
      </w:r>
    </w:p>
    <w:p w14:paraId="5D5B5341" w14:textId="19BCCE82" w:rsidR="00210A54" w:rsidRPr="00682C8B" w:rsidRDefault="00682C8B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Nomination form to be submitted electronically to the Vice President of WASLA</w:t>
      </w:r>
    </w:p>
    <w:p w14:paraId="1395DD53" w14:textId="07589B77" w:rsidR="00210A54" w:rsidRPr="00CB17F5" w:rsidRDefault="00210A54" w:rsidP="00410CD9">
      <w:pPr>
        <w:pStyle w:val="ListParagraph"/>
        <w:numPr>
          <w:ilvl w:val="0"/>
          <w:numId w:val="17"/>
        </w:numPr>
        <w:spacing w:line="276" w:lineRule="auto"/>
        <w:ind w:left="417"/>
        <w:rPr>
          <w:rFonts w:asciiTheme="majorHAnsi" w:hAnsiTheme="majorHAnsi" w:cstheme="majorHAnsi"/>
          <w:color w:val="00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A high-resolution image of the </w:t>
      </w:r>
      <w:r>
        <w:rPr>
          <w:rFonts w:asciiTheme="majorHAnsi" w:hAnsiTheme="majorHAnsi" w:cstheme="majorHAnsi"/>
          <w:snapToGrid w:val="0"/>
          <w:sz w:val="22"/>
          <w:szCs w:val="22"/>
        </w:rPr>
        <w:t>nominated school library team</w:t>
      </w:r>
    </w:p>
    <w:p w14:paraId="4E7B0AF9" w14:textId="77777777" w:rsidR="003B1E70" w:rsidRPr="00147134" w:rsidRDefault="003B1E70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inorHAnsi" w:hAnsiTheme="minorHAnsi"/>
          <w:snapToGrid w:val="0"/>
          <w:sz w:val="22"/>
          <w:szCs w:val="22"/>
        </w:rPr>
      </w:pPr>
    </w:p>
    <w:p w14:paraId="65BDADBD" w14:textId="2C7CBB1F" w:rsidR="00C27915" w:rsidRDefault="00C27915" w:rsidP="00FA5271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Expressions of Interest and </w:t>
      </w:r>
      <w:r w:rsidRPr="00CB17F5">
        <w:rPr>
          <w:rFonts w:asciiTheme="majorHAnsi" w:hAnsiTheme="majorHAnsi" w:cstheme="majorHAnsi"/>
          <w:color w:val="000000"/>
          <w:sz w:val="22"/>
          <w:szCs w:val="22"/>
        </w:rPr>
        <w:t xml:space="preserve">Nominations to be submitted by email </w:t>
      </w:r>
      <w:r>
        <w:rPr>
          <w:rFonts w:asciiTheme="majorHAnsi" w:hAnsiTheme="majorHAnsi" w:cstheme="majorHAnsi"/>
          <w:color w:val="000000"/>
          <w:sz w:val="22"/>
          <w:szCs w:val="22"/>
        </w:rPr>
        <w:t>to</w:t>
      </w:r>
      <w:r w:rsidR="00844AC1">
        <w:rPr>
          <w:rFonts w:asciiTheme="majorHAnsi" w:hAnsiTheme="majorHAnsi" w:cstheme="majorHAnsi"/>
          <w:color w:val="000000"/>
          <w:sz w:val="22"/>
          <w:szCs w:val="22"/>
        </w:rPr>
        <w:t xml:space="preserve"> the WASLA Vice president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hyperlink r:id="rId8" w:history="1">
        <w:r w:rsidRPr="00D41BC3">
          <w:rPr>
            <w:rStyle w:val="Hyperlink"/>
            <w:rFonts w:asciiTheme="majorHAnsi" w:hAnsiTheme="majorHAnsi" w:cstheme="majorHAnsi"/>
            <w:sz w:val="22"/>
            <w:szCs w:val="22"/>
          </w:rPr>
          <w:t>Felicia.Harris@education.wa.edu.au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77AA002" w14:textId="77777777" w:rsidR="00210A54" w:rsidRPr="00CB17F5" w:rsidRDefault="00210A54" w:rsidP="00FA5271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188F9422" w14:textId="065912CB" w:rsidR="00C27915" w:rsidRDefault="00C27915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>If you are submitting a nomination, please send an Expression of Interest to Felicia Harris by Friday 27 February.</w:t>
      </w:r>
    </w:p>
    <w:p w14:paraId="2232B3B7" w14:textId="77777777" w:rsidR="00210A54" w:rsidRDefault="00210A54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snapToGrid w:val="0"/>
          <w:sz w:val="22"/>
          <w:szCs w:val="22"/>
        </w:rPr>
      </w:pPr>
    </w:p>
    <w:p w14:paraId="4B6836CE" w14:textId="77777777" w:rsidR="00C27915" w:rsidRPr="00CB17F5" w:rsidRDefault="00C27915" w:rsidP="00FA527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76" w:lineRule="auto"/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</w:pPr>
      <w:r w:rsidRPr="00CB17F5">
        <w:rPr>
          <w:rFonts w:asciiTheme="majorHAnsi" w:hAnsiTheme="majorHAnsi" w:cstheme="majorHAnsi"/>
          <w:snapToGrid w:val="0"/>
          <w:sz w:val="22"/>
          <w:szCs w:val="22"/>
        </w:rPr>
        <w:t xml:space="preserve">Closing Date for </w:t>
      </w:r>
      <w:r>
        <w:rPr>
          <w:rFonts w:asciiTheme="majorHAnsi" w:hAnsiTheme="majorHAnsi" w:cstheme="majorHAnsi"/>
          <w:snapToGrid w:val="0"/>
          <w:sz w:val="22"/>
          <w:szCs w:val="22"/>
        </w:rPr>
        <w:t xml:space="preserve">Applications:  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 xml:space="preserve">Monday 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2</w:t>
      </w:r>
      <w:r w:rsidRPr="00E7262C"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9 March 202</w:t>
      </w:r>
      <w:r>
        <w:rPr>
          <w:rFonts w:asciiTheme="majorHAnsi" w:hAnsiTheme="majorHAnsi" w:cstheme="majorHAnsi"/>
          <w:b/>
          <w:snapToGrid w:val="0"/>
          <w:color w:val="FF0000"/>
          <w:sz w:val="22"/>
          <w:szCs w:val="22"/>
        </w:rPr>
        <w:t>1</w:t>
      </w:r>
    </w:p>
    <w:p w14:paraId="3C23436D" w14:textId="02F120E3" w:rsidR="00A65914" w:rsidRPr="00BF3532" w:rsidRDefault="00A65914" w:rsidP="00A65914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BF3532">
        <w:rPr>
          <w:rFonts w:asciiTheme="majorHAnsi" w:hAnsiTheme="majorHAnsi" w:cstheme="majorHAnsi"/>
          <w:snapToGrid w:val="0"/>
          <w:sz w:val="28"/>
        </w:rPr>
        <w:lastRenderedPageBreak/>
        <w:t xml:space="preserve">WESTERN AUSTRALIAN </w:t>
      </w:r>
      <w:r>
        <w:rPr>
          <w:rFonts w:asciiTheme="majorHAnsi" w:hAnsiTheme="majorHAnsi" w:cstheme="majorHAnsi"/>
          <w:snapToGrid w:val="0"/>
          <w:sz w:val="28"/>
        </w:rPr>
        <w:t>SCHOOL LIBRARY</w:t>
      </w:r>
      <w:r w:rsidRPr="00BF3532">
        <w:rPr>
          <w:rFonts w:asciiTheme="majorHAnsi" w:hAnsiTheme="majorHAnsi" w:cstheme="majorHAnsi"/>
          <w:snapToGrid w:val="0"/>
          <w:sz w:val="28"/>
        </w:rPr>
        <w:t xml:space="preserve"> OF THE YEAR </w:t>
      </w:r>
      <w:r w:rsidR="00D0244E">
        <w:rPr>
          <w:rFonts w:asciiTheme="majorHAnsi" w:hAnsiTheme="majorHAnsi" w:cstheme="majorHAnsi"/>
          <w:snapToGrid w:val="0"/>
          <w:color w:val="000000" w:themeColor="text1"/>
          <w:sz w:val="28"/>
        </w:rPr>
        <w:t>2020</w:t>
      </w:r>
    </w:p>
    <w:p w14:paraId="2FDE755B" w14:textId="77777777" w:rsidR="00A65914" w:rsidRPr="00BF3532" w:rsidRDefault="00A65914" w:rsidP="00A65914">
      <w:pPr>
        <w:tabs>
          <w:tab w:val="left" w:pos="864"/>
          <w:tab w:val="left" w:pos="1296"/>
          <w:tab w:val="left" w:pos="1440"/>
        </w:tabs>
        <w:jc w:val="both"/>
        <w:rPr>
          <w:rFonts w:asciiTheme="majorHAnsi" w:hAnsiTheme="majorHAnsi" w:cstheme="majorHAnsi"/>
          <w:snapToGrid w:val="0"/>
          <w:sz w:val="28"/>
        </w:rPr>
      </w:pPr>
    </w:p>
    <w:p w14:paraId="0448E5D9" w14:textId="77777777" w:rsidR="00A65914" w:rsidRPr="00BF3532" w:rsidRDefault="00A65914" w:rsidP="00A65914">
      <w:pPr>
        <w:tabs>
          <w:tab w:val="left" w:pos="864"/>
          <w:tab w:val="left" w:pos="1296"/>
          <w:tab w:val="left" w:pos="1440"/>
        </w:tabs>
        <w:jc w:val="center"/>
        <w:rPr>
          <w:rFonts w:asciiTheme="majorHAnsi" w:hAnsiTheme="majorHAnsi" w:cstheme="majorHAnsi"/>
          <w:snapToGrid w:val="0"/>
          <w:sz w:val="28"/>
        </w:rPr>
      </w:pPr>
      <w:r w:rsidRPr="00BF3532">
        <w:rPr>
          <w:rFonts w:asciiTheme="majorHAnsi" w:hAnsiTheme="majorHAnsi" w:cstheme="majorHAnsi"/>
          <w:snapToGrid w:val="0"/>
          <w:sz w:val="28"/>
        </w:rPr>
        <w:t>NOMINATION FORM</w:t>
      </w:r>
    </w:p>
    <w:p w14:paraId="7BA67BBD" w14:textId="77777777" w:rsidR="00A65914" w:rsidRPr="00BF3532" w:rsidRDefault="00A65914" w:rsidP="00A6591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napToGrid w:val="0"/>
          <w:sz w:val="28"/>
        </w:rPr>
      </w:pPr>
    </w:p>
    <w:tbl>
      <w:tblPr>
        <w:tblW w:w="9922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4252"/>
      </w:tblGrid>
      <w:tr w:rsidR="00A65914" w:rsidRPr="009C4D42" w14:paraId="1F7E05F8" w14:textId="77777777" w:rsidTr="00E97D0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CE5ED8F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Nominated by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5001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1405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Email   </w:t>
            </w:r>
          </w:p>
        </w:tc>
      </w:tr>
      <w:tr w:rsidR="00A65914" w:rsidRPr="009C4D42" w14:paraId="3495C994" w14:textId="77777777" w:rsidTr="00E97D05">
        <w:trPr>
          <w:trHeight w:val="45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B7C233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Position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06D3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6DC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Phone   </w:t>
            </w:r>
          </w:p>
        </w:tc>
      </w:tr>
    </w:tbl>
    <w:p w14:paraId="7162FC91" w14:textId="77777777" w:rsidR="00A65914" w:rsidRPr="009C4D42" w:rsidRDefault="00A65914" w:rsidP="00A65914">
      <w:pPr>
        <w:rPr>
          <w:b/>
          <w:snapToGrid w:val="0"/>
          <w:sz w:val="22"/>
          <w:szCs w:val="22"/>
        </w:rPr>
      </w:pPr>
    </w:p>
    <w:p w14:paraId="7D8043A7" w14:textId="7A8C1ED0" w:rsidR="00A65914" w:rsidRPr="009C4D42" w:rsidRDefault="00A65914" w:rsidP="00A65914">
      <w:pPr>
        <w:spacing w:after="60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t>NOMINEES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69"/>
        <w:gridCol w:w="2694"/>
        <w:gridCol w:w="990"/>
      </w:tblGrid>
      <w:tr w:rsidR="00A65914" w:rsidRPr="009C4D42" w14:paraId="6AB2CD25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B05CF9" w14:textId="5759404A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Name of School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54EB874F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645C1E" w:rsidRPr="009C4D42" w14:paraId="3ECA3DD5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BD851" w14:textId="466D34D9" w:rsidR="00645C1E" w:rsidRPr="009C4D42" w:rsidRDefault="00645C1E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Name of School Library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44565366" w14:textId="77777777" w:rsidR="00645C1E" w:rsidRPr="009C4D42" w:rsidRDefault="00645C1E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1FFA54F3" w14:textId="77777777" w:rsidTr="00CD1808">
        <w:trPr>
          <w:cantSplit/>
          <w:trHeight w:val="49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74F069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Membership number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6937E287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41F08AC8" w14:textId="77777777" w:rsidTr="00CD1808">
        <w:trPr>
          <w:cantSplit/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DCE2A9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Principal/Employer's Name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1CF018B5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7E7D2A88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8E8E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Address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24DAF1DB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049DEFF5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D5AAA7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Email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7A009D4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A65914" w:rsidRPr="009C4D42" w14:paraId="6D806500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2A99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C4D42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Phone</w:t>
            </w:r>
          </w:p>
        </w:tc>
        <w:tc>
          <w:tcPr>
            <w:tcW w:w="7653" w:type="dxa"/>
            <w:gridSpan w:val="3"/>
            <w:tcBorders>
              <w:left w:val="nil"/>
            </w:tcBorders>
            <w:vAlign w:val="center"/>
          </w:tcPr>
          <w:p w14:paraId="596E09F2" w14:textId="77777777" w:rsidR="00A65914" w:rsidRPr="009C4D42" w:rsidRDefault="00A65914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62DEE1E0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F82D2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1779BF5" w14:textId="73D381E4" w:rsidR="00777C38" w:rsidRPr="00777C38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 w:rsidRPr="00777C38"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Library Team Member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0B841BCE" w14:textId="1920E853" w:rsidR="00777C38" w:rsidRPr="00777C38" w:rsidRDefault="0068550C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Library Position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2DBA65C4" w14:textId="2CC4C0F0" w:rsidR="00777C38" w:rsidRPr="00777C38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</w:pPr>
            <w:r w:rsidRPr="00777C38"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</w:rPr>
              <w:t>Work fraction</w:t>
            </w:r>
          </w:p>
        </w:tc>
      </w:tr>
      <w:tr w:rsidR="00777C38" w:rsidRPr="009C4D42" w14:paraId="248D1855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33FB6" w14:textId="41D23776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8737956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C162BC9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4E01B89" w14:textId="455AEBD5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685FD7BD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78CF4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E96D70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64E5221F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4172E80" w14:textId="117C340A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2353A8D6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3200B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EBAC9C2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1F516AD5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170E6D1" w14:textId="5EF2AFDC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215F65EE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377E0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72E4097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373DF527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08AA16B" w14:textId="04DD421D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09CCE9E3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04AFB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E45F305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431B2EC0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6997FE9" w14:textId="7FE65A17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77C38" w:rsidRPr="009C4D42" w14:paraId="491DAFCF" w14:textId="77777777" w:rsidTr="00CD1808">
        <w:trPr>
          <w:trHeight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C4A783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jc w:val="right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D5BC4A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nil"/>
            </w:tcBorders>
            <w:vAlign w:val="center"/>
          </w:tcPr>
          <w:p w14:paraId="74D08E0C" w14:textId="77777777" w:rsidR="00777C38" w:rsidRPr="009C4D42" w:rsidRDefault="00777C38" w:rsidP="00E97D05">
            <w:pPr>
              <w:tabs>
                <w:tab w:val="left" w:pos="864"/>
                <w:tab w:val="left" w:pos="1296"/>
                <w:tab w:val="left" w:pos="1440"/>
              </w:tabs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35B1ABE" w14:textId="33AC51F2" w:rsidR="00777C38" w:rsidRPr="009C4D42" w:rsidRDefault="00777C38" w:rsidP="00777C38">
            <w:pPr>
              <w:tabs>
                <w:tab w:val="left" w:pos="864"/>
                <w:tab w:val="left" w:pos="1296"/>
                <w:tab w:val="left" w:pos="1440"/>
              </w:tabs>
              <w:jc w:val="center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</w:tbl>
    <w:p w14:paraId="13354181" w14:textId="0D57CFDB" w:rsidR="00A65914" w:rsidRDefault="00A65914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7CCDBF39" w14:textId="7C2DF686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0A576699" w14:textId="5607AF0F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7FD3A41E" w14:textId="754C12A6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02745EF9" w14:textId="456C22E4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608353A7" w14:textId="77777777" w:rsidR="001B410F" w:rsidRDefault="001B410F" w:rsidP="00A65914">
      <w:pPr>
        <w:rPr>
          <w:rFonts w:asciiTheme="majorHAnsi" w:hAnsiTheme="majorHAnsi" w:cstheme="majorHAnsi"/>
          <w:snapToGrid w:val="0"/>
          <w:sz w:val="22"/>
          <w:szCs w:val="22"/>
        </w:rPr>
      </w:pPr>
    </w:p>
    <w:p w14:paraId="43936852" w14:textId="4BC8D317" w:rsidR="001B410F" w:rsidRDefault="001B410F">
      <w:pPr>
        <w:rPr>
          <w:rFonts w:asciiTheme="majorHAnsi" w:hAnsiTheme="majorHAnsi" w:cstheme="majorHAnsi"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br w:type="page"/>
      </w:r>
    </w:p>
    <w:p w14:paraId="0AA9AF63" w14:textId="7F8256F8" w:rsidR="006A7684" w:rsidRPr="009C4D42" w:rsidRDefault="006A7684" w:rsidP="006A7684">
      <w:pPr>
        <w:spacing w:before="120" w:line="276" w:lineRule="auto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lastRenderedPageBreak/>
        <w:t>EVIDENCE FOR NOMINATION</w:t>
      </w:r>
    </w:p>
    <w:p w14:paraId="2ABA0E0E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3EBA058E" w14:textId="1D052B2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t>Please provide brief poi</w:t>
      </w:r>
      <w:r w:rsidR="009C4D42">
        <w:rPr>
          <w:rFonts w:asciiTheme="majorHAnsi" w:hAnsiTheme="majorHAnsi" w:cstheme="majorHAnsi"/>
          <w:snapToGrid w:val="0"/>
          <w:sz w:val="22"/>
          <w:szCs w:val="22"/>
        </w:rPr>
        <w:t xml:space="preserve">nters to </w:t>
      </w:r>
      <w:r w:rsidR="009632CE">
        <w:rPr>
          <w:rFonts w:asciiTheme="majorHAnsi" w:hAnsiTheme="majorHAnsi" w:cstheme="majorHAnsi"/>
          <w:snapToGrid w:val="0"/>
          <w:sz w:val="22"/>
          <w:szCs w:val="22"/>
        </w:rPr>
        <w:t>evidence of the school library team’s</w:t>
      </w:r>
      <w:r w:rsidRPr="009C4D42">
        <w:rPr>
          <w:rFonts w:asciiTheme="majorHAnsi" w:hAnsiTheme="majorHAnsi" w:cstheme="majorHAnsi"/>
          <w:snapToGrid w:val="0"/>
          <w:sz w:val="22"/>
          <w:szCs w:val="22"/>
        </w:rPr>
        <w:t xml:space="preserve"> achievements and professional practice in providing exceptional library and information services within their school. </w:t>
      </w:r>
    </w:p>
    <w:p w14:paraId="0173E398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55EEEAE0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jc w:val="center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snapToGrid w:val="0"/>
          <w:sz w:val="22"/>
          <w:szCs w:val="22"/>
        </w:rPr>
        <w:t>(The role statements following this page may assist in identifying areas for comment.)</w:t>
      </w:r>
    </w:p>
    <w:p w14:paraId="49B5771B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1A7230B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Knowledge</w:t>
      </w:r>
    </w:p>
    <w:p w14:paraId="13F84DD7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1A4E9555" w14:textId="77777777" w:rsidTr="009C057A">
        <w:trPr>
          <w:trHeight w:val="3104"/>
        </w:trPr>
        <w:tc>
          <w:tcPr>
            <w:tcW w:w="9918" w:type="dxa"/>
          </w:tcPr>
          <w:p w14:paraId="37CEF9B6" w14:textId="77777777" w:rsidR="006A7684" w:rsidRPr="009C4D42" w:rsidRDefault="006A7684" w:rsidP="009C4D42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bookmarkStart w:id="3" w:name="_Hlk525063534"/>
          </w:p>
        </w:tc>
      </w:tr>
      <w:bookmarkEnd w:id="3"/>
    </w:tbl>
    <w:p w14:paraId="082795F5" w14:textId="77777777" w:rsidR="009C057A" w:rsidRDefault="009C057A" w:rsidP="006A7684">
      <w:pPr>
        <w:rPr>
          <w:rFonts w:asciiTheme="majorHAnsi" w:hAnsiTheme="majorHAnsi" w:cstheme="majorHAnsi"/>
          <w:sz w:val="22"/>
          <w:szCs w:val="22"/>
        </w:rPr>
      </w:pPr>
    </w:p>
    <w:p w14:paraId="14AB73B2" w14:textId="77777777" w:rsidR="006A7684" w:rsidRPr="009C4D42" w:rsidRDefault="006A7684" w:rsidP="006A7684">
      <w:pPr>
        <w:spacing w:before="60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Professional Practice </w:t>
      </w:r>
    </w:p>
    <w:p w14:paraId="10821D67" w14:textId="77777777" w:rsidR="006A7684" w:rsidRPr="00C27915" w:rsidRDefault="006A7684" w:rsidP="006A7684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4B05165A" w14:textId="77777777" w:rsidTr="009C057A">
        <w:trPr>
          <w:trHeight w:val="3218"/>
        </w:trPr>
        <w:tc>
          <w:tcPr>
            <w:tcW w:w="9918" w:type="dxa"/>
          </w:tcPr>
          <w:p w14:paraId="6AAEB28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1C87C37F" w14:textId="77777777" w:rsidR="009C057A" w:rsidRPr="00C27915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7128611E" w14:textId="77777777" w:rsidR="006A7684" w:rsidRPr="009C4D42" w:rsidRDefault="006A7684" w:rsidP="006A7684">
      <w:pPr>
        <w:spacing w:before="60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Commitment</w:t>
      </w:r>
    </w:p>
    <w:p w14:paraId="3522A77F" w14:textId="77777777" w:rsidR="006A7684" w:rsidRPr="00C27915" w:rsidRDefault="006A7684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16BBAF5C" w14:textId="77777777" w:rsidTr="009C057A">
        <w:trPr>
          <w:trHeight w:val="3358"/>
        </w:trPr>
        <w:tc>
          <w:tcPr>
            <w:tcW w:w="9918" w:type="dxa"/>
          </w:tcPr>
          <w:p w14:paraId="0D8086A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47CD7BC5" w14:textId="77777777" w:rsidR="009C057A" w:rsidRPr="009C057A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5CD6FB73" w14:textId="77777777" w:rsidR="006A7684" w:rsidRPr="009C4D42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napToGrid w:val="0"/>
          <w:sz w:val="22"/>
          <w:szCs w:val="22"/>
        </w:rPr>
        <w:t>General Comments</w:t>
      </w:r>
    </w:p>
    <w:p w14:paraId="3E7951CE" w14:textId="77777777" w:rsidR="006A7684" w:rsidRPr="009C057A" w:rsidRDefault="006A7684" w:rsidP="006A7684">
      <w:pPr>
        <w:tabs>
          <w:tab w:val="left" w:pos="864"/>
          <w:tab w:val="left" w:pos="1296"/>
          <w:tab w:val="left" w:pos="1440"/>
        </w:tabs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tbl>
      <w:tblPr>
        <w:tblStyle w:val="TableGrid"/>
        <w:tblW w:w="9918" w:type="dxa"/>
        <w:tblInd w:w="104" w:type="dxa"/>
        <w:tblLook w:val="04A0" w:firstRow="1" w:lastRow="0" w:firstColumn="1" w:lastColumn="0" w:noHBand="0" w:noVBand="1"/>
      </w:tblPr>
      <w:tblGrid>
        <w:gridCol w:w="9918"/>
      </w:tblGrid>
      <w:tr w:rsidR="006A7684" w:rsidRPr="009C4D42" w14:paraId="02FEDFB0" w14:textId="77777777" w:rsidTr="009C057A">
        <w:trPr>
          <w:trHeight w:val="3981"/>
        </w:trPr>
        <w:tc>
          <w:tcPr>
            <w:tcW w:w="9918" w:type="dxa"/>
          </w:tcPr>
          <w:p w14:paraId="4F441C4F" w14:textId="77777777" w:rsidR="006A7684" w:rsidRPr="009C4D42" w:rsidRDefault="006A7684" w:rsidP="00E97D05">
            <w:pPr>
              <w:tabs>
                <w:tab w:val="left" w:pos="864"/>
                <w:tab w:val="left" w:pos="1296"/>
                <w:tab w:val="left" w:pos="1440"/>
              </w:tabs>
              <w:spacing w:line="276" w:lineRule="auto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</w:tr>
    </w:tbl>
    <w:p w14:paraId="06D82660" w14:textId="322E75E5" w:rsidR="006A7684" w:rsidRDefault="006A7684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3B6DA79C" w14:textId="77777777" w:rsidR="009C057A" w:rsidRPr="00C27915" w:rsidRDefault="009C057A" w:rsidP="006A7684">
      <w:pPr>
        <w:rPr>
          <w:rFonts w:asciiTheme="majorHAnsi" w:hAnsiTheme="majorHAnsi" w:cstheme="majorHAnsi"/>
          <w:bCs/>
          <w:snapToGrid w:val="0"/>
          <w:sz w:val="22"/>
          <w:szCs w:val="22"/>
        </w:rPr>
      </w:pPr>
    </w:p>
    <w:p w14:paraId="49B699CE" w14:textId="62EA0086" w:rsidR="006A7684" w:rsidRPr="009C4D42" w:rsidRDefault="006A7684" w:rsidP="00F54C4D">
      <w:pPr>
        <w:spacing w:before="60"/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Role Statements </w:t>
      </w:r>
      <w:r w:rsidR="00FE3A0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from the AITSL Standards </w:t>
      </w:r>
      <w:r w:rsidRPr="009C4D42">
        <w:rPr>
          <w:rFonts w:asciiTheme="majorHAnsi" w:hAnsiTheme="majorHAnsi" w:cstheme="majorHAnsi"/>
          <w:b/>
          <w:bCs/>
          <w:color w:val="000000"/>
          <w:sz w:val="22"/>
          <w:szCs w:val="22"/>
        </w:rPr>
        <w:t>to assist your application.</w:t>
      </w:r>
    </w:p>
    <w:p w14:paraId="7D37532E" w14:textId="77777777" w:rsidR="006A7684" w:rsidRPr="009C4D42" w:rsidRDefault="006A7684" w:rsidP="00F54C4D">
      <w:p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bCs/>
          <w:snapToGrid w:val="0"/>
          <w:sz w:val="22"/>
          <w:szCs w:val="22"/>
        </w:rPr>
        <w:t> </w:t>
      </w:r>
    </w:p>
    <w:p w14:paraId="78E519C0" w14:textId="77777777" w:rsidR="006A7684" w:rsidRPr="009C4D42" w:rsidRDefault="006A7684" w:rsidP="00F54C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before="120"/>
        <w:ind w:left="426" w:hanging="426"/>
        <w:jc w:val="both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Professional Knowledge </w:t>
      </w:r>
    </w:p>
    <w:p w14:paraId="0819E393" w14:textId="77777777" w:rsidR="006A7684" w:rsidRPr="009C4D42" w:rsidRDefault="006A7684" w:rsidP="00F54C4D">
      <w:pPr>
        <w:numPr>
          <w:ilvl w:val="1"/>
          <w:numId w:val="2"/>
        </w:numPr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understands the principles of lifelong learning </w:t>
      </w:r>
    </w:p>
    <w:p w14:paraId="643C2597" w14:textId="77777777" w:rsidR="006A7684" w:rsidRPr="009C4D42" w:rsidRDefault="006A7684" w:rsidP="00F54C4D">
      <w:pPr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Knowledge of the principles of lifelong learning </w:t>
      </w:r>
    </w:p>
    <w:p w14:paraId="727AEB9E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is well-informed about information literacy theory and practice;</w:t>
      </w:r>
    </w:p>
    <w:p w14:paraId="70ADFD76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thoroughly understands how all learners develop and applies lifelong learning skills and strategies;</w:t>
      </w:r>
    </w:p>
    <w:p w14:paraId="5DE19BD0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sound understanding of how children and young adults become independent readers;</w:t>
      </w:r>
    </w:p>
    <w:p w14:paraId="332375D2" w14:textId="77777777" w:rsidR="006A7684" w:rsidRPr="009C4D42" w:rsidRDefault="006A7684" w:rsidP="00F54C4D">
      <w:pPr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comprehensively understands the role of information and communication technologies (ICTs) in lifelong learning.</w:t>
      </w:r>
    </w:p>
    <w:p w14:paraId="726BCB68" w14:textId="77777777" w:rsidR="006A7684" w:rsidRPr="009C4D42" w:rsidRDefault="006A7684" w:rsidP="00F54C4D">
      <w:pPr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2C6757FB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knows about learning and teaching across curriculum areas and developmental levels</w:t>
      </w:r>
    </w:p>
    <w:p w14:paraId="13A71420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Knowledge of learning and teaching </w:t>
      </w:r>
    </w:p>
    <w:p w14:paraId="0BBBBE3C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detailed knowledge of current educational pedagogy;</w:t>
      </w:r>
    </w:p>
    <w:p w14:paraId="3C7DB686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is thoroughly familiar with the information literacy and information needs, skills and interests of learners;</w:t>
      </w:r>
    </w:p>
    <w:p w14:paraId="3DD00B65" w14:textId="77777777" w:rsidR="006A7684" w:rsidRPr="009C4D42" w:rsidRDefault="006A7684" w:rsidP="00F54C4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fully understands the need to cater for the social, cultural and developmental backgrounds of learners in program implementation and curriculum resourcing.</w:t>
      </w:r>
    </w:p>
    <w:p w14:paraId="7151FDE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712BAF4E" w14:textId="079E42F4" w:rsidR="006A7684" w:rsidRPr="00F73D03" w:rsidRDefault="006A7684" w:rsidP="001846D1">
      <w:pPr>
        <w:numPr>
          <w:ilvl w:val="1"/>
          <w:numId w:val="2"/>
        </w:numPr>
        <w:tabs>
          <w:tab w:val="clear" w:pos="792"/>
          <w:tab w:val="num" w:pos="0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has a rich understanding of the school community and curriculum</w:t>
      </w:r>
      <w:r w:rsidR="00F73D03">
        <w:rPr>
          <w:rFonts w:asciiTheme="majorHAnsi" w:hAnsiTheme="majorHAnsi" w:cstheme="majorHAnsi"/>
          <w:snapToGrid w:val="0"/>
          <w:sz w:val="22"/>
          <w:szCs w:val="22"/>
        </w:rPr>
        <w:br/>
      </w:r>
      <w:r w:rsidRPr="00F73D03">
        <w:rPr>
          <w:rFonts w:asciiTheme="majorHAnsi" w:hAnsiTheme="majorHAnsi" w:cstheme="majorHAnsi"/>
          <w:b/>
          <w:sz w:val="22"/>
          <w:szCs w:val="22"/>
        </w:rPr>
        <w:t xml:space="preserve">Knowledge of curriculum </w:t>
      </w:r>
    </w:p>
    <w:p w14:paraId="33F12B90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has a comprehensive understanding of literacy, literature for children and young adults, curriculum and specific programs in their schools; </w:t>
      </w:r>
    </w:p>
    <w:p w14:paraId="46210044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detailed knowledge of how to promote and foster reading;</w:t>
      </w:r>
    </w:p>
    <w:p w14:paraId="7B13F915" w14:textId="77777777" w:rsidR="006A7684" w:rsidRPr="009C4D42" w:rsidRDefault="006A7684" w:rsidP="00F54C4D">
      <w:pPr>
        <w:numPr>
          <w:ilvl w:val="0"/>
          <w:numId w:val="5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sound understanding of current assessment theory and processes.</w:t>
      </w:r>
    </w:p>
    <w:p w14:paraId="4847864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7AF8128F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has a specialist knowledge of information, resources, technology and library management</w:t>
      </w:r>
    </w:p>
    <w:p w14:paraId="19ECE8F2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Knowledge of library and information management</w:t>
      </w:r>
      <w:r w:rsidRPr="009C4D4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B13C18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understands that professionally managed and resourced school libraries are crucial to the achievements of the school community;</w:t>
      </w:r>
    </w:p>
    <w:p w14:paraId="1A5B36B1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rich professional knowledge of national standards for library and information management;</w:t>
      </w:r>
    </w:p>
    <w:p w14:paraId="384DF333" w14:textId="77777777" w:rsidR="006A7684" w:rsidRPr="009C4D42" w:rsidRDefault="006A7684" w:rsidP="00F54C4D">
      <w:pPr>
        <w:numPr>
          <w:ilvl w:val="0"/>
          <w:numId w:val="6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has a comprehensive understanding of national standards for information retrieval.</w:t>
      </w:r>
    </w:p>
    <w:p w14:paraId="2177CFA2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snapToGrid w:val="0"/>
          <w:sz w:val="22"/>
          <w:szCs w:val="22"/>
        </w:rPr>
      </w:pPr>
    </w:p>
    <w:p w14:paraId="0C65471B" w14:textId="77777777" w:rsidR="006A7684" w:rsidRPr="009C4D42" w:rsidRDefault="006A7684" w:rsidP="00F54C4D">
      <w:pPr>
        <w:numPr>
          <w:ilvl w:val="0"/>
          <w:numId w:val="2"/>
        </w:num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Practice</w:t>
      </w:r>
    </w:p>
    <w:p w14:paraId="246594B4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 engages and challenges learners within a supportive, information rich learning environment </w:t>
      </w:r>
    </w:p>
    <w:p w14:paraId="68067237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Learning environment</w:t>
      </w:r>
    </w:p>
    <w:p w14:paraId="5A5883FE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creates and nurtures an information-rich learning environment which supports the needs of the school community;</w:t>
      </w:r>
    </w:p>
    <w:p w14:paraId="10CC8337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access to information resources through efficient, effective and professionally-managed system;</w:t>
      </w:r>
    </w:p>
    <w:p w14:paraId="10D28397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fosters an environment where learners are encouraged and empowered to read, view, listen and respond for understanding and enjoyment;</w:t>
      </w:r>
    </w:p>
    <w:p w14:paraId="770EEA94" w14:textId="77777777" w:rsidR="006A7684" w:rsidRPr="009C4D42" w:rsidRDefault="006A7684" w:rsidP="00F54C4D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appreciates the dynamic nature of ICTs and their role in education.</w:t>
      </w:r>
    </w:p>
    <w:p w14:paraId="124A2ED9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42F3F0B5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collaboratively plans and resources curriculum programs which incorporate transferable information literacy and literature outcomes</w:t>
      </w:r>
    </w:p>
    <w:p w14:paraId="23661A3C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Learning and teaching </w:t>
      </w:r>
    </w:p>
    <w:p w14:paraId="1F093868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collaborates with teachers to plan and implement information literacy and literature programs that result in positive student learning outcomes;</w:t>
      </w:r>
    </w:p>
    <w:p w14:paraId="3FC5A1A2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ensures that their programs are responsive to the needs of learners in the school community;</w:t>
      </w:r>
    </w:p>
    <w:p w14:paraId="1BD69201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supports learning and teaching by providing equitable access to professionally-selected resources;</w:t>
      </w:r>
    </w:p>
    <w:p w14:paraId="11ABF527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assists individual learners to develop independence in their learning;</w:t>
      </w:r>
    </w:p>
    <w:p w14:paraId="0CE882E8" w14:textId="77777777" w:rsidR="006A7684" w:rsidRPr="009C4D42" w:rsidRDefault="006A7684" w:rsidP="00F54C4D">
      <w:pPr>
        <w:numPr>
          <w:ilvl w:val="0"/>
          <w:numId w:val="8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teaches the appropriate and relevant use of ICTs and information resources.</w:t>
      </w:r>
    </w:p>
    <w:p w14:paraId="4EF2B86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509A05A3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provides exemplary library and information services consistent with national standards</w:t>
      </w:r>
    </w:p>
    <w:p w14:paraId="3FD72877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Library and information services management  </w:t>
      </w:r>
    </w:p>
    <w:p w14:paraId="3C382670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ensures that the library's policies and procedures implement the school's mission;</w:t>
      </w:r>
    </w:p>
    <w:p w14:paraId="51275BEC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exemplary reference and information services to the school community;</w:t>
      </w:r>
    </w:p>
    <w:p w14:paraId="6DFE4047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strategically plans and budgets for improvement in library and information services and program;</w:t>
      </w:r>
    </w:p>
    <w:p w14:paraId="4DF4D1F0" w14:textId="77777777" w:rsidR="006A7684" w:rsidRPr="009C4D42" w:rsidRDefault="006A7684" w:rsidP="00F54C4D">
      <w:pPr>
        <w:numPr>
          <w:ilvl w:val="0"/>
          <w:numId w:val="9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applies information management practices and systems that are consistent with national standards.</w:t>
      </w:r>
    </w:p>
    <w:p w14:paraId="4426BEA0" w14:textId="77777777" w:rsidR="006A7684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1B9DFCEB" w14:textId="77777777" w:rsidR="00015C2E" w:rsidRPr="009C4D42" w:rsidRDefault="00015C2E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1D6BE32F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evaluate student learning and library programs and services to inform professional practice</w:t>
      </w:r>
    </w:p>
    <w:p w14:paraId="4EF73A7F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Evaluation </w:t>
      </w:r>
    </w:p>
    <w:p w14:paraId="7D8BEB5B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monitors teaching practice to ensure improved learning and teaching;</w:t>
      </w:r>
    </w:p>
    <w:p w14:paraId="7BD0FE5C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evaluates student learning to provide evidence of progress in information literacy and reading;</w:t>
      </w:r>
    </w:p>
    <w:p w14:paraId="1BBB1CD0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measures library resources, facilities, programs and services against current policies, standards documents and benchmarks;</w:t>
      </w:r>
    </w:p>
    <w:p w14:paraId="744D281C" w14:textId="77777777" w:rsidR="006A7684" w:rsidRPr="009C4D42" w:rsidRDefault="006A7684" w:rsidP="00F54C4D">
      <w:pPr>
        <w:numPr>
          <w:ilvl w:val="0"/>
          <w:numId w:val="10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uses evidence to inform programs and services.</w:t>
      </w:r>
    </w:p>
    <w:p w14:paraId="4F089E20" w14:textId="77777777" w:rsidR="006A7684" w:rsidRPr="009C4D42" w:rsidRDefault="006A7684" w:rsidP="00F54C4D">
      <w:p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14:paraId="18A71775" w14:textId="77777777" w:rsidR="006A7684" w:rsidRPr="009C4D42" w:rsidRDefault="006A7684" w:rsidP="00F54C4D">
      <w:pPr>
        <w:numPr>
          <w:ilvl w:val="0"/>
          <w:numId w:val="2"/>
        </w:numPr>
        <w:tabs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Professional Commitment</w:t>
      </w:r>
    </w:p>
    <w:p w14:paraId="5D3B9135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models and promotes lifelong learning</w:t>
      </w:r>
    </w:p>
    <w:p w14:paraId="513E96D0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Lifelong learning </w:t>
      </w:r>
    </w:p>
    <w:p w14:paraId="692C8D5D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empowers others in the school community to become lifelong learners;</w:t>
      </w:r>
    </w:p>
    <w:p w14:paraId="6D3826E3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undertakes research which informs evidence-based innovation in school library programs;</w:t>
      </w:r>
    </w:p>
    <w:p w14:paraId="1E38C735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engages in debate on educational issues within the school community;</w:t>
      </w:r>
    </w:p>
    <w:p w14:paraId="033EEFBC" w14:textId="77777777" w:rsidR="006A7684" w:rsidRPr="009C4D42" w:rsidRDefault="006A7684" w:rsidP="00F54C4D">
      <w:pPr>
        <w:numPr>
          <w:ilvl w:val="0"/>
          <w:numId w:val="11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creates and fosters library-related professional development opportunities for staff.</w:t>
      </w:r>
    </w:p>
    <w:p w14:paraId="207FAA9C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</w:p>
    <w:p w14:paraId="5CC0D5B3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commits to the principles of education and librarianship</w:t>
      </w:r>
    </w:p>
    <w:p w14:paraId="6CD31941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Commitment </w:t>
      </w:r>
    </w:p>
    <w:p w14:paraId="797CBBA9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is dedicated to excellence in professional service; </w:t>
      </w:r>
    </w:p>
    <w:p w14:paraId="413835B6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emphasises a learning and teaching focus in school library programs and services;</w:t>
      </w:r>
    </w:p>
    <w:p w14:paraId="24714F93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promotes the profession of teacher librarianship in their schools and the wider community;</w:t>
      </w:r>
    </w:p>
    <w:p w14:paraId="2A0686AE" w14:textId="77777777" w:rsidR="006A7684" w:rsidRPr="009C4D42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lastRenderedPageBreak/>
        <w:t>fosters a reading culture through the active promotion of literature;</w:t>
      </w:r>
    </w:p>
    <w:p w14:paraId="5769979A" w14:textId="77777777" w:rsidR="006A7684" w:rsidRDefault="006A7684" w:rsidP="00F54C4D">
      <w:pPr>
        <w:numPr>
          <w:ilvl w:val="0"/>
          <w:numId w:val="12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participates in continuing professional development.</w:t>
      </w:r>
    </w:p>
    <w:p w14:paraId="16FC9712" w14:textId="77777777" w:rsidR="00015C2E" w:rsidRPr="009C4D42" w:rsidRDefault="00015C2E" w:rsidP="00015C2E">
      <w:pPr>
        <w:ind w:left="426"/>
        <w:rPr>
          <w:rFonts w:asciiTheme="majorHAnsi" w:hAnsiTheme="majorHAnsi" w:cstheme="majorHAnsi"/>
          <w:sz w:val="22"/>
          <w:szCs w:val="22"/>
        </w:rPr>
      </w:pPr>
    </w:p>
    <w:p w14:paraId="08E9D959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demonstrates leadership within school and professional communities</w:t>
      </w:r>
    </w:p>
    <w:p w14:paraId="0E43DC1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Leadership</w:t>
      </w:r>
      <w:r w:rsidRPr="009C4D4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600186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actively engages in school leadership and participates in key committees; </w:t>
      </w:r>
    </w:p>
    <w:p w14:paraId="6A276C56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promotes and nurtures a ‘whole school focus’ on information literacy policy and implementation;</w:t>
      </w:r>
    </w:p>
    <w:p w14:paraId="05740659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builds and fosters collaborative teams within school and professional communities;</w:t>
      </w:r>
    </w:p>
    <w:p w14:paraId="4F243569" w14:textId="77777777" w:rsidR="006A7684" w:rsidRPr="009C4D42" w:rsidRDefault="006A7684" w:rsidP="00F54C4D">
      <w:pPr>
        <w:numPr>
          <w:ilvl w:val="0"/>
          <w:numId w:val="13"/>
        </w:num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provides effective and transformational leadership to school library and information services staff.</w:t>
      </w:r>
    </w:p>
    <w:p w14:paraId="3B21D603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</w:p>
    <w:p w14:paraId="1C1BF4E7" w14:textId="77777777" w:rsidR="006A7684" w:rsidRPr="009C4D42" w:rsidRDefault="006A7684" w:rsidP="00F54C4D">
      <w:pPr>
        <w:numPr>
          <w:ilvl w:val="1"/>
          <w:numId w:val="2"/>
        </w:numPr>
        <w:tabs>
          <w:tab w:val="clear" w:pos="792"/>
          <w:tab w:val="num" w:pos="426"/>
        </w:tabs>
        <w:spacing w:before="60"/>
        <w:ind w:left="426" w:hanging="426"/>
        <w:rPr>
          <w:rFonts w:asciiTheme="majorHAnsi" w:hAnsiTheme="majorHAnsi" w:cstheme="majorHAnsi"/>
          <w:b/>
          <w:snapToGrid w:val="0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>actively participates in education and library professional networks</w:t>
      </w:r>
    </w:p>
    <w:p w14:paraId="778F0427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b/>
          <w:sz w:val="22"/>
          <w:szCs w:val="22"/>
        </w:rPr>
        <w:t xml:space="preserve">Community responsibilities </w:t>
      </w:r>
    </w:p>
    <w:p w14:paraId="449F3BE3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models the sharing of knowledge;</w:t>
      </w:r>
    </w:p>
    <w:p w14:paraId="2BC946B6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actively participates as a member of professional communities;</w:t>
      </w:r>
    </w:p>
    <w:p w14:paraId="63AA8663" w14:textId="77777777" w:rsidR="006A7684" w:rsidRPr="009C4D42" w:rsidRDefault="006A7684" w:rsidP="00F54C4D">
      <w:pPr>
        <w:numPr>
          <w:ilvl w:val="0"/>
          <w:numId w:val="14"/>
        </w:numPr>
        <w:tabs>
          <w:tab w:val="num" w:pos="426"/>
        </w:tabs>
        <w:ind w:left="426" w:hanging="426"/>
        <w:rPr>
          <w:rFonts w:asciiTheme="majorHAnsi" w:hAnsiTheme="majorHAnsi" w:cstheme="majorHAnsi"/>
          <w:b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>demonstrates collegiality and mentors colleagues.</w:t>
      </w:r>
    </w:p>
    <w:p w14:paraId="1FF26EBD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28F1C48" w14:textId="77777777" w:rsidR="006A7684" w:rsidRPr="009C4D42" w:rsidRDefault="006A7684" w:rsidP="00F54C4D">
      <w:pPr>
        <w:tabs>
          <w:tab w:val="num" w:pos="426"/>
        </w:tabs>
        <w:ind w:left="426" w:hanging="42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9C4D42">
        <w:rPr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</w:p>
    <w:p w14:paraId="373CC4E8" w14:textId="33F9DAF2" w:rsidR="006A7684" w:rsidRPr="009C4D42" w:rsidRDefault="006A7684" w:rsidP="00FE3A0E">
      <w:pPr>
        <w:tabs>
          <w:tab w:val="num" w:pos="426"/>
        </w:tabs>
        <w:rPr>
          <w:rFonts w:asciiTheme="majorHAnsi" w:hAnsiTheme="majorHAnsi" w:cstheme="majorHAnsi"/>
          <w:sz w:val="22"/>
          <w:szCs w:val="22"/>
        </w:rPr>
      </w:pPr>
      <w:r w:rsidRPr="009C4D42">
        <w:rPr>
          <w:rFonts w:asciiTheme="majorHAnsi" w:hAnsiTheme="majorHAnsi" w:cstheme="majorHAnsi"/>
          <w:sz w:val="22"/>
          <w:szCs w:val="22"/>
        </w:rPr>
        <w:t xml:space="preserve">Any evidence of your </w:t>
      </w:r>
      <w:r w:rsidR="00FE3A0E">
        <w:rPr>
          <w:rFonts w:asciiTheme="majorHAnsi" w:hAnsiTheme="majorHAnsi" w:cstheme="majorHAnsi"/>
          <w:sz w:val="22"/>
          <w:szCs w:val="22"/>
        </w:rPr>
        <w:t xml:space="preserve">school library’s </w:t>
      </w:r>
      <w:r w:rsidRPr="009C4D42">
        <w:rPr>
          <w:rFonts w:asciiTheme="majorHAnsi" w:hAnsiTheme="majorHAnsi" w:cstheme="majorHAnsi"/>
          <w:sz w:val="22"/>
          <w:szCs w:val="22"/>
        </w:rPr>
        <w:t>achievement of the AITSL professional standards may assist your nomination.</w:t>
      </w:r>
    </w:p>
    <w:p w14:paraId="67056B3F" w14:textId="77777777" w:rsidR="00A65914" w:rsidRPr="009C4D42" w:rsidRDefault="00A65914" w:rsidP="00A65914">
      <w:pPr>
        <w:spacing w:before="120"/>
        <w:rPr>
          <w:b/>
          <w:snapToGrid w:val="0"/>
          <w:sz w:val="22"/>
          <w:szCs w:val="22"/>
        </w:rPr>
      </w:pPr>
    </w:p>
    <w:sectPr w:rsidR="00A65914" w:rsidRPr="009C4D42" w:rsidSect="00844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E94F5" w14:textId="77777777" w:rsidR="002B15D4" w:rsidRDefault="002B15D4" w:rsidP="00C27915">
      <w:r>
        <w:separator/>
      </w:r>
    </w:p>
  </w:endnote>
  <w:endnote w:type="continuationSeparator" w:id="0">
    <w:p w14:paraId="1C1BFDE7" w14:textId="77777777" w:rsidR="002B15D4" w:rsidRDefault="002B15D4" w:rsidP="00C2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DFD42" w14:textId="77777777" w:rsidR="006E11C8" w:rsidRDefault="006E1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96F5" w14:textId="77777777" w:rsidR="006E11C8" w:rsidRDefault="006E1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4B739" w14:textId="77777777" w:rsidR="006E11C8" w:rsidRDefault="006E1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3E6A" w14:textId="77777777" w:rsidR="002B15D4" w:rsidRDefault="002B15D4" w:rsidP="00C27915">
      <w:r>
        <w:separator/>
      </w:r>
    </w:p>
  </w:footnote>
  <w:footnote w:type="continuationSeparator" w:id="0">
    <w:p w14:paraId="645A5D08" w14:textId="77777777" w:rsidR="002B15D4" w:rsidRDefault="002B15D4" w:rsidP="00C2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6F20D" w14:textId="77777777" w:rsidR="006E11C8" w:rsidRDefault="006E1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F3A42" w14:textId="5BE76074" w:rsidR="00C27915" w:rsidRDefault="00C27915">
    <w:pPr>
      <w:pStyle w:val="Header"/>
    </w:pPr>
    <w:r w:rsidRPr="000052E5">
      <w:rPr>
        <w:rFonts w:asciiTheme="majorHAnsi" w:hAnsiTheme="majorHAnsi" w:cstheme="majorHAnsi"/>
        <w:noProof/>
        <w:sz w:val="28"/>
      </w:rPr>
      <w:drawing>
        <wp:anchor distT="0" distB="0" distL="114300" distR="114300" simplePos="0" relativeHeight="251659264" behindDoc="0" locked="0" layoutInCell="1" allowOverlap="1" wp14:anchorId="566C24D2" wp14:editId="09B88128">
          <wp:simplePos x="0" y="0"/>
          <wp:positionH relativeFrom="column">
            <wp:posOffset>5210175</wp:posOffset>
          </wp:positionH>
          <wp:positionV relativeFrom="paragraph">
            <wp:posOffset>-143510</wp:posOffset>
          </wp:positionV>
          <wp:extent cx="1141152" cy="736323"/>
          <wp:effectExtent l="0" t="0" r="1905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SLA_logo_colo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52" cy="736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C4F75" w14:textId="77777777" w:rsidR="006E11C8" w:rsidRDefault="006E1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5F13"/>
    <w:multiLevelType w:val="hybridMultilevel"/>
    <w:tmpl w:val="46189AF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35282"/>
    <w:multiLevelType w:val="hybridMultilevel"/>
    <w:tmpl w:val="7D34B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6C0A"/>
    <w:multiLevelType w:val="hybridMultilevel"/>
    <w:tmpl w:val="EEE8CA8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930E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C2668B"/>
    <w:multiLevelType w:val="hybridMultilevel"/>
    <w:tmpl w:val="439C493E"/>
    <w:lvl w:ilvl="0" w:tplc="6806422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E369B"/>
    <w:multiLevelType w:val="hybridMultilevel"/>
    <w:tmpl w:val="2416BF0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234456"/>
    <w:multiLevelType w:val="hybridMultilevel"/>
    <w:tmpl w:val="AE4060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E041F8"/>
    <w:multiLevelType w:val="hybridMultilevel"/>
    <w:tmpl w:val="076AEF8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417DB"/>
    <w:multiLevelType w:val="hybridMultilevel"/>
    <w:tmpl w:val="9F7249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325D3"/>
    <w:multiLevelType w:val="hybridMultilevel"/>
    <w:tmpl w:val="82F2FE0C"/>
    <w:lvl w:ilvl="0" w:tplc="004A93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86A24"/>
    <w:multiLevelType w:val="multilevel"/>
    <w:tmpl w:val="1C507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67A24A0"/>
    <w:multiLevelType w:val="hybridMultilevel"/>
    <w:tmpl w:val="886E78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EF12A0"/>
    <w:multiLevelType w:val="hybridMultilevel"/>
    <w:tmpl w:val="7AE2AD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F745F"/>
    <w:multiLevelType w:val="hybridMultilevel"/>
    <w:tmpl w:val="44585E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425E5"/>
    <w:multiLevelType w:val="hybridMultilevel"/>
    <w:tmpl w:val="F09656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E56511"/>
    <w:multiLevelType w:val="hybridMultilevel"/>
    <w:tmpl w:val="132A9F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876CD8"/>
    <w:multiLevelType w:val="hybridMultilevel"/>
    <w:tmpl w:val="B5D2CB5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15"/>
  </w:num>
  <w:num w:numId="9">
    <w:abstractNumId w:val="0"/>
  </w:num>
  <w:num w:numId="10">
    <w:abstractNumId w:val="7"/>
  </w:num>
  <w:num w:numId="11">
    <w:abstractNumId w:val="16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7C"/>
    <w:rsid w:val="00015C2E"/>
    <w:rsid w:val="0007741C"/>
    <w:rsid w:val="000A018E"/>
    <w:rsid w:val="000D1C9E"/>
    <w:rsid w:val="0010116B"/>
    <w:rsid w:val="00125245"/>
    <w:rsid w:val="00147134"/>
    <w:rsid w:val="001846D1"/>
    <w:rsid w:val="00193C7C"/>
    <w:rsid w:val="001A4D00"/>
    <w:rsid w:val="001B410F"/>
    <w:rsid w:val="00210A54"/>
    <w:rsid w:val="002264AC"/>
    <w:rsid w:val="00226732"/>
    <w:rsid w:val="002427C8"/>
    <w:rsid w:val="002A4DBA"/>
    <w:rsid w:val="002B15D4"/>
    <w:rsid w:val="00313B54"/>
    <w:rsid w:val="003405A8"/>
    <w:rsid w:val="0037185C"/>
    <w:rsid w:val="00374BEF"/>
    <w:rsid w:val="003B1E70"/>
    <w:rsid w:val="003D4A34"/>
    <w:rsid w:val="00410CD9"/>
    <w:rsid w:val="00466577"/>
    <w:rsid w:val="00492470"/>
    <w:rsid w:val="004D6259"/>
    <w:rsid w:val="004F7592"/>
    <w:rsid w:val="006135C2"/>
    <w:rsid w:val="00627B22"/>
    <w:rsid w:val="00645C1E"/>
    <w:rsid w:val="0065115E"/>
    <w:rsid w:val="006719BA"/>
    <w:rsid w:val="00682C8B"/>
    <w:rsid w:val="0068550C"/>
    <w:rsid w:val="006A7684"/>
    <w:rsid w:val="006C7591"/>
    <w:rsid w:val="006D03C3"/>
    <w:rsid w:val="006E11C8"/>
    <w:rsid w:val="007622DE"/>
    <w:rsid w:val="00777C38"/>
    <w:rsid w:val="00791252"/>
    <w:rsid w:val="00835E9A"/>
    <w:rsid w:val="00844AC1"/>
    <w:rsid w:val="00875336"/>
    <w:rsid w:val="008E7CF2"/>
    <w:rsid w:val="009632CE"/>
    <w:rsid w:val="00965D7B"/>
    <w:rsid w:val="0097029A"/>
    <w:rsid w:val="00996063"/>
    <w:rsid w:val="009C057A"/>
    <w:rsid w:val="009C4D42"/>
    <w:rsid w:val="009C613F"/>
    <w:rsid w:val="009E548A"/>
    <w:rsid w:val="009E721E"/>
    <w:rsid w:val="00A50612"/>
    <w:rsid w:val="00A633B0"/>
    <w:rsid w:val="00A65914"/>
    <w:rsid w:val="00A92A95"/>
    <w:rsid w:val="00AB74BC"/>
    <w:rsid w:val="00AE0DBB"/>
    <w:rsid w:val="00AF6ECF"/>
    <w:rsid w:val="00B00995"/>
    <w:rsid w:val="00B30354"/>
    <w:rsid w:val="00BC7A38"/>
    <w:rsid w:val="00BD6986"/>
    <w:rsid w:val="00C17CE8"/>
    <w:rsid w:val="00C20007"/>
    <w:rsid w:val="00C27915"/>
    <w:rsid w:val="00CA0740"/>
    <w:rsid w:val="00CA6995"/>
    <w:rsid w:val="00CC0186"/>
    <w:rsid w:val="00CD1808"/>
    <w:rsid w:val="00CD5B44"/>
    <w:rsid w:val="00D0244E"/>
    <w:rsid w:val="00D049EB"/>
    <w:rsid w:val="00D44B66"/>
    <w:rsid w:val="00DB1A09"/>
    <w:rsid w:val="00DF3D1A"/>
    <w:rsid w:val="00E2495A"/>
    <w:rsid w:val="00E336D1"/>
    <w:rsid w:val="00E36E20"/>
    <w:rsid w:val="00F54C4D"/>
    <w:rsid w:val="00F73D03"/>
    <w:rsid w:val="00F84669"/>
    <w:rsid w:val="00FA5271"/>
    <w:rsid w:val="00FC05E2"/>
    <w:rsid w:val="00FD2AEF"/>
    <w:rsid w:val="00FE3A0E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5C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7C"/>
    <w:rPr>
      <w:rFonts w:ascii="Times New Roman" w:eastAsia="Times New Roman" w:hAnsi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93C7C"/>
    <w:pPr>
      <w:keepNext/>
      <w:spacing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C7C"/>
    <w:rPr>
      <w:rFonts w:ascii="Arial" w:eastAsia="Times New Roman" w:hAnsi="Arial" w:cs="Arial"/>
      <w:b/>
      <w:bCs/>
      <w:kern w:val="32"/>
      <w:sz w:val="28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193C7C"/>
    <w:pPr>
      <w:ind w:left="720"/>
    </w:pPr>
  </w:style>
  <w:style w:type="character" w:styleId="Hyperlink">
    <w:name w:val="Hyperlink"/>
    <w:basedOn w:val="DefaultParagraphFont"/>
    <w:uiPriority w:val="99"/>
    <w:unhideWhenUsed/>
    <w:rsid w:val="00193C7C"/>
    <w:rPr>
      <w:color w:val="0000FF"/>
      <w:u w:val="single"/>
    </w:rPr>
  </w:style>
  <w:style w:type="table" w:styleId="TableGrid">
    <w:name w:val="Table Grid"/>
    <w:basedOn w:val="TableNormal"/>
    <w:uiPriority w:val="39"/>
    <w:rsid w:val="006A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915"/>
    <w:rPr>
      <w:rFonts w:ascii="Times New Roman" w:eastAsia="Times New Roman" w:hAnsi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27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915"/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cia.Harris@education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AE32AA-0C8D-46BA-B14B-3F84F4E9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Rebecca Murray</cp:lastModifiedBy>
  <cp:revision>25</cp:revision>
  <cp:lastPrinted>2019-01-17T06:38:00Z</cp:lastPrinted>
  <dcterms:created xsi:type="dcterms:W3CDTF">2021-02-01T13:25:00Z</dcterms:created>
  <dcterms:modified xsi:type="dcterms:W3CDTF">2021-02-03T06:35:00Z</dcterms:modified>
</cp:coreProperties>
</file>